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41B" w:rsidRPr="001E67A2" w:rsidRDefault="00F0241B" w:rsidP="00F0241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  <w:r w:rsidRPr="001E67A2">
        <w:rPr>
          <w:rFonts w:ascii="Calibri Light" w:hAnsi="Calibri Light"/>
          <w:i w:val="0"/>
          <w:sz w:val="24"/>
        </w:rPr>
        <w:t>APPENDIX A</w:t>
      </w:r>
    </w:p>
    <w:p w:rsidR="00F0241B" w:rsidRPr="001E67A2" w:rsidRDefault="00F0241B" w:rsidP="00F0241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:rsidR="00F0241B" w:rsidRPr="001E67A2" w:rsidRDefault="00F0241B" w:rsidP="00F0241B">
      <w:pPr>
        <w:pStyle w:val="BodyTextIndent2"/>
        <w:jc w:val="center"/>
        <w:rPr>
          <w:rFonts w:ascii="Calibri Light" w:hAnsi="Calibri Light"/>
        </w:rPr>
      </w:pPr>
      <w:r w:rsidRPr="001E67A2">
        <w:rPr>
          <w:rFonts w:ascii="Calibri Light" w:hAnsi="Calibri Light"/>
          <w:b/>
        </w:rPr>
        <w:t>PREDECESSOR FIRMS</w:t>
      </w:r>
    </w:p>
    <w:p w:rsidR="00F0241B" w:rsidRPr="001E67A2" w:rsidRDefault="00F0241B" w:rsidP="00F0241B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:rsidR="00F0241B" w:rsidRPr="001E67A2" w:rsidRDefault="00F0241B" w:rsidP="00F0241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:rsidR="00F0241B" w:rsidRPr="001E67A2" w:rsidRDefault="00F0241B" w:rsidP="00F0241B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F0241B" w:rsidRPr="001E67A2" w:rsidTr="00A057F3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F0241B" w:rsidRPr="001E67A2" w:rsidRDefault="00F0241B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r w:rsidRPr="001E67A2">
              <w:rPr>
                <w:rFonts w:ascii="Calibri Light" w:hAnsi="Calibri Light"/>
                <w:b w:val="0"/>
                <w:i w:val="0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F0241B" w:rsidRPr="001E67A2" w:rsidRDefault="00F0241B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r w:rsidRPr="001E67A2">
              <w:rPr>
                <w:rFonts w:ascii="Calibri Light" w:hAnsi="Calibri Light"/>
                <w:b w:val="0"/>
                <w:i w:val="0"/>
              </w:rPr>
              <w:t>WeirFoulds LLP</w:t>
            </w:r>
          </w:p>
        </w:tc>
      </w:tr>
    </w:tbl>
    <w:p w:rsidR="00F0241B" w:rsidRPr="001E67A2" w:rsidRDefault="00F0241B" w:rsidP="00F0241B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:rsidR="00F0241B" w:rsidRPr="001E67A2" w:rsidRDefault="00F0241B" w:rsidP="00F0241B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:rsidR="00F0241B" w:rsidRPr="001E67A2" w:rsidRDefault="00F0241B" w:rsidP="00F0241B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:rsidR="00F0241B" w:rsidRPr="001E67A2" w:rsidRDefault="00F0241B" w:rsidP="00F0241B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  <w:u w:val="single"/>
        </w:rPr>
      </w:pP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  <w:u w:val="single"/>
        </w:rPr>
        <w:t>Merger Date</w:t>
      </w:r>
    </w:p>
    <w:p w:rsidR="00F0241B" w:rsidRPr="001E67A2" w:rsidRDefault="00F0241B" w:rsidP="00F0241B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  <w:u w:val="single"/>
        </w:rPr>
      </w:pPr>
    </w:p>
    <w:p w:rsidR="00F0241B" w:rsidRPr="001E67A2" w:rsidRDefault="00F0241B" w:rsidP="00F0241B">
      <w:pPr>
        <w:numPr>
          <w:ilvl w:val="0"/>
          <w:numId w:val="1"/>
        </w:numPr>
        <w:rPr>
          <w:rFonts w:ascii="Calibri Light" w:hAnsi="Calibri Light"/>
        </w:rPr>
      </w:pPr>
      <w:r w:rsidRPr="001E67A2">
        <w:rPr>
          <w:rFonts w:ascii="Calibri Light" w:hAnsi="Calibri Light"/>
        </w:rPr>
        <w:t>Davis, Webb, Schulze &amp; Tinsley</w:t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  <w:t>February 1, 1988</w:t>
      </w:r>
    </w:p>
    <w:p w:rsidR="00F0241B" w:rsidRPr="001E67A2" w:rsidRDefault="00F0241B" w:rsidP="00F0241B">
      <w:pPr>
        <w:numPr>
          <w:ilvl w:val="0"/>
          <w:numId w:val="1"/>
        </w:numPr>
        <w:rPr>
          <w:rFonts w:ascii="Calibri Light" w:hAnsi="Calibri Light"/>
        </w:rPr>
      </w:pPr>
      <w:r w:rsidRPr="001E67A2">
        <w:rPr>
          <w:rFonts w:ascii="Calibri Light" w:hAnsi="Calibri Light"/>
        </w:rPr>
        <w:t>Weir &amp; Foulds</w:t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  <w:t>March 1, 2001</w:t>
      </w:r>
    </w:p>
    <w:p w:rsidR="00F0241B" w:rsidRPr="001E67A2" w:rsidRDefault="00F0241B" w:rsidP="00F0241B">
      <w:pPr>
        <w:numPr>
          <w:ilvl w:val="0"/>
          <w:numId w:val="1"/>
        </w:numPr>
        <w:rPr>
          <w:rFonts w:ascii="Calibri Light" w:hAnsi="Calibri Light"/>
        </w:rPr>
      </w:pPr>
      <w:r w:rsidRPr="001E67A2">
        <w:rPr>
          <w:rFonts w:ascii="Calibri Light" w:hAnsi="Calibri Light"/>
        </w:rPr>
        <w:t>Lynda J. Townsend Law Office (predecessor firm of TA)</w:t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  <w:t>September 2006</w:t>
      </w:r>
    </w:p>
    <w:p w:rsidR="00F0241B" w:rsidRPr="001E67A2" w:rsidRDefault="00F0241B" w:rsidP="00F0241B">
      <w:pPr>
        <w:numPr>
          <w:ilvl w:val="0"/>
          <w:numId w:val="1"/>
        </w:numPr>
        <w:rPr>
          <w:rFonts w:ascii="Calibri Light" w:hAnsi="Calibri Light"/>
        </w:rPr>
      </w:pPr>
      <w:r w:rsidRPr="001E67A2">
        <w:rPr>
          <w:rFonts w:ascii="Calibri Light" w:hAnsi="Calibri Light"/>
        </w:rPr>
        <w:t>Townsend Rogers (predecessor firm of TA)</w:t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  <w:t>June 2009</w:t>
      </w:r>
    </w:p>
    <w:p w:rsidR="00F0241B" w:rsidRPr="001E67A2" w:rsidRDefault="00F0241B" w:rsidP="00F0241B">
      <w:pPr>
        <w:numPr>
          <w:ilvl w:val="0"/>
          <w:numId w:val="1"/>
        </w:numPr>
        <w:rPr>
          <w:rFonts w:ascii="Calibri Light" w:hAnsi="Calibri Light"/>
        </w:rPr>
      </w:pPr>
      <w:r w:rsidRPr="001E67A2">
        <w:rPr>
          <w:rFonts w:ascii="Calibri Light" w:hAnsi="Calibri Light"/>
        </w:rPr>
        <w:t>Townsend and Associates (“TA”)</w:t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  <w:t>September 30, 2013</w:t>
      </w: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F0241B" w:rsidRPr="001E67A2" w:rsidRDefault="00F0241B" w:rsidP="00F0241B">
      <w:pPr>
        <w:rPr>
          <w:rFonts w:ascii="Calibri Light" w:hAnsi="Calibri Light"/>
        </w:rPr>
      </w:pPr>
    </w:p>
    <w:p w:rsidR="007A46BB" w:rsidRPr="00F0241B" w:rsidRDefault="00F0241B" w:rsidP="00F0241B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Note:</w:t>
      </w:r>
      <w:r w:rsidRPr="001E67A2">
        <w:rPr>
          <w:rFonts w:ascii="Calibri Light" w:hAnsi="Calibri Light"/>
          <w:b w:val="0"/>
          <w:i w:val="0"/>
        </w:rPr>
        <w:tab/>
        <w:t>A predecessor firm is one a) which has undergone dissolution; and b) in which more than 50% of the partners and employed lawyers became partners and employed lawyers of the Firm.</w:t>
      </w:r>
      <w:bookmarkStart w:id="0" w:name="_GoBack"/>
      <w:bookmarkEnd w:id="0"/>
    </w:p>
    <w:sectPr w:rsidR="007A46BB" w:rsidRPr="00F0241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423A1"/>
    <w:multiLevelType w:val="hybridMultilevel"/>
    <w:tmpl w:val="FA6EEE8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41B"/>
    <w:rsid w:val="007C0D8E"/>
    <w:rsid w:val="00BF66B5"/>
    <w:rsid w:val="00F0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D6848"/>
  <w15:chartTrackingRefBased/>
  <w15:docId w15:val="{F189185D-8D71-4548-90BD-5C5264815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41B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F0241B"/>
    <w:pPr>
      <w:ind w:left="720" w:hanging="720"/>
      <w:jc w:val="both"/>
    </w:pPr>
    <w:rPr>
      <w:b/>
      <w:i/>
    </w:rPr>
  </w:style>
  <w:style w:type="character" w:customStyle="1" w:styleId="BodyTextIndentChar">
    <w:name w:val="Body Text Indent Char"/>
    <w:basedOn w:val="DefaultParagraphFont"/>
    <w:link w:val="BodyTextIndent"/>
    <w:rsid w:val="00F0241B"/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F0241B"/>
    <w:pPr>
      <w:tabs>
        <w:tab w:val="left" w:pos="540"/>
        <w:tab w:val="left" w:pos="1530"/>
        <w:tab w:val="left" w:pos="1800"/>
        <w:tab w:val="left" w:pos="2520"/>
        <w:tab w:val="left" w:pos="3960"/>
        <w:tab w:val="left" w:pos="4860"/>
        <w:tab w:val="left" w:pos="6840"/>
        <w:tab w:val="left" w:pos="7560"/>
      </w:tabs>
      <w:ind w:left="540" w:hanging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F0241B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2018-03-05T14:36:00Z</dcterms:created>
  <dcterms:modified xsi:type="dcterms:W3CDTF">2018-03-05T14:36:00Z</dcterms:modified>
</cp:coreProperties>
</file>